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Informacja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łównego Inspektora Sanitarnego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dla dyrektorów przedszkoli, szkó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i placówek oświatowych 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ązku z potencjalnym ryzykiem zakażenia koronawirusem 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Warszawa, 27.02.2020 r.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426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Aktualnie nie ma wytycznych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Światowej Organizacji Zdrowia (WHO) oraz Europejskiego Centrum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ds. Zapobiegania i Kontroli Chorób (ECDC), które nakazywa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łyby objęcie nadzorem osób powracających z krajów stwierdzono występowanie koronawirusa, jeżeli nie spełniają one kryteriów dla przypadku podejrzanego o zakażenie lub zachorowanie.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KRYTERIA KWALIFIKACJI do dalszego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ępowania: (1)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osób potencjalnie narażonych w związku z powrotem z obszarów utrzymującej się transmisji wirusa lub (2) osób, które miały bliski kontakt z osobą zakażoną.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ępowaniu podlega osoba, która spełnia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kryteria kliniczne oraz kryteria epidemiologiczne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4"/>
        </w:numPr>
        <w:spacing w:before="0" w:after="0" w:line="288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kryteria kliniczne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żda osoba u której wystąpił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 najmniej jeden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wymienionych objawów ostrej infekcji układu oddechowego: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gor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ączka 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kaszel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duszno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</w:t>
      </w:r>
    </w:p>
    <w:p>
      <w:pPr>
        <w:numPr>
          <w:ilvl w:val="0"/>
          <w:numId w:val="6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kryteria epidemiologiczne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żda osoba, która w okresie 14 dni przed wystąpieniem objawów spełniała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 najmniej jedno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 następujących kryteriów: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żowała lub przebywała w regionie, w którym stwierdzono przypadki koronawirusa;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bliski kontakt z osobą, u której stwierdzono zakażenie (kontakt z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przypadkiem potwierdzonym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lub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przypadkiem prawdopodobnym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pracowa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lub przebywała jako odwiedzający w jednostce opieki zdrowotnej,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której leczono pacjentów zaka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żonych nowym koronawirusem.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ZALECENIA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u ucznia lub pracownika szkoły, który przebywał w rejonie zagrożenia epidemiologicznego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ągu ostatnich 14 dni: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zaobserwowano objawy takie jak: gor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ączka, kaszel, duszność i problemy z oddychaniem to: </w:t>
      </w:r>
    </w:p>
    <w:p>
      <w:pPr>
        <w:numPr>
          <w:ilvl w:val="0"/>
          <w:numId w:val="10"/>
        </w:numPr>
        <w:spacing w:before="120" w:after="0" w:line="288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ży bezzwłocznie, telefonicznie powiadomić stację sanitarno-epidemiologiczną (lista stacji sanitarno-epidemiologicznych znajduje się tutaj: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https://gis.gov.pl/mapa/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)</w:t>
      </w:r>
    </w:p>
    <w:p>
      <w:pPr>
        <w:numPr>
          <w:ilvl w:val="0"/>
          <w:numId w:val="10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lub powinien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łosić się bezpośrednio do oddziału zakaźnego lub oddziału obserwacyjno-zakaźnego, gdzie określony zostanie dalszy tryb postępowania medycznego (l</w:t>
      </w: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istę oddziałów zakaźnych można znaleźć na stronie: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https://www.gov.pl/web/zdrowie/byles-w-chinach-i-zle-sie-czujesz-sprawdz-co-robic</w:t>
        </w:r>
      </w:hyperlink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nie zaobserwowano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wymienionych objawów, to przez kolejne 14 dni należy kontrolować stan zdrowia, czyli codziennie mierzyć temperaturę ciała oraz zwrócić uwagę na występowanie objawów grypopodobnych (złe samopoczucie, bóle mięśniowe, kaszel).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po 14 dniach samoobserwacji nie wystąpią wyżej wymienione objawy, można zakończyć kontrolę.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w ciągu 14 dni zaobserwowane zostaną wyżej wymienione objawy to: </w:t>
      </w:r>
    </w:p>
    <w:p>
      <w:pPr>
        <w:numPr>
          <w:ilvl w:val="0"/>
          <w:numId w:val="13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bezzwłocznie, telefonicznie powiadomić stację sanitarno-epidemiologiczną,</w:t>
      </w:r>
    </w:p>
    <w:p>
      <w:pPr>
        <w:numPr>
          <w:ilvl w:val="0"/>
          <w:numId w:val="13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lub chory powinien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łosić się bezpośrednio do oddziału zakaźnego lub oddziału obserwacyjno-zakaźnego, gdzie określony zostanie dalszy tryb postępowania medycznego.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mia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kontakt z osobą chorą lub zakażoną koronawirusem to: </w:t>
      </w:r>
    </w:p>
    <w:p>
      <w:pPr>
        <w:numPr>
          <w:ilvl w:val="0"/>
          <w:numId w:val="15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bezzwłocznie, telefonicznie powiadomić stację sanitarno-epidemiologiczną.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ątpliwości należy skontaktować się z najbliższą powiatową stacją sanitarno-epidemiologiczną, przekazując wszystkie niezbędne dane (kiedy i z jakiego rejonu osoba powróciła, jakie występują u niej objawy i od kiedy). 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 przypadku, gdy osoba podejrzana o zaka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żenie wirusem zostaje skierowana do szpitala celem dalszej diagnostyki i wykonania testów na obecność wirusa państwowy powiatowy inspektor sanitarny zawiadamia o tym dyrektora placówki, a następnie w porozumieniu podejmują dalsze kroki profilaktyczne. Jednocześnie dyrektor placówki mając wiedzę o podejrzeniu przypadku zakażenia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 ucznia lub pracownika powinien jak najszybciej zg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łosić ten fakt do powiatowej stacji sanitarno-epidemiologicznej.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ustaw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 zapobieganiu oraz zwalczaniu zakażeń i chorób zakaźnych u ludzi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(Dz.U. z 2019 r. poz. 1239, ze zm.) w przypadku podejrzenia lub rozpoznania zachorowania na chorob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szczególnie niebezpieczną i wysoce zakaźną lekarz przyjmujący do szpitala, miejsca izolacji lub odbywania kwarantanny, kierując się własną oceną stopnia zagrożenia dla zdrowia publicznego, poddaje osobę podejrzaną o zachorowanie, chorą na chorobę szczególnie niebezpieczną i wysoce zakaźną lub osobę narażoną na zakażenie hospitalizacji, izolacji lub kwarantannie oraz badaniom.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wytycznymi Ministerstwa Zdrowia i  Krajowego Konsultanta w dziedzinie chorób zaka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źnych (dostępne na stronach: mz.gov.pl, gis.gov.pl, gov.pl/koronawirus) każda osoba, która została zakwalifikowana do dalszego postępowania medycznego, powinna być hospitalizowana w oddziale zakaźnym (obserwacyjno-zakaźnym) z zapewnieniem warunków izolacji oddechowej i ścisłego reżimu sanitarnego. 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Osoby nie 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łniające kryteriów przypadku podejrzanego o zachorowanie  na koronawirusa powinny być leczone w warunkach ambulatoryjnych w ramach podstawowej opieki zdrowotnej.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ępowanie rozstrzygające podejmują pracownicy Państwowej Inspekcji Sanitarnej. </w:t>
      </w:r>
    </w:p>
    <w:p>
      <w:pPr>
        <w:spacing w:before="0" w:after="0" w:line="288"/>
        <w:ind w:right="0" w:left="0" w:firstLine="360"/>
        <w:jc w:val="both"/>
        <w:rPr>
          <w:rFonts w:ascii="Calibri" w:hAnsi="Calibri" w:cs="Calibri" w:eastAsia="Calibri"/>
          <w:b/>
          <w:color w:val="212121"/>
          <w:spacing w:val="0"/>
          <w:position w:val="0"/>
          <w:sz w:val="22"/>
          <w:shd w:fill="auto" w:val="clear"/>
        </w:rPr>
      </w:pP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to znaczy,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ktoś miał kontakt z osobą zakażoną nowym koronawirusem?</w:t>
      </w:r>
    </w:p>
    <w:p>
      <w:pPr>
        <w:numPr>
          <w:ilvl w:val="0"/>
          <w:numId w:val="19"/>
        </w:numPr>
        <w:spacing w:before="120" w:after="0" w:line="288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pozostawa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bezpośrednim kontakcie z osobą chorą lub w kontakcie w odległości mniej niż 2 metrów przez ponad 15 minut,</w:t>
      </w:r>
    </w:p>
    <w:p>
      <w:pPr>
        <w:numPr>
          <w:ilvl w:val="0"/>
          <w:numId w:val="19"/>
        </w:numPr>
        <w:spacing w:before="120" w:after="0" w:line="288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prowadzi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rozmowę z osobą z objawami choroby twarzą w twarz przez dłuższy czas, </w:t>
      </w:r>
    </w:p>
    <w:p>
      <w:pPr>
        <w:numPr>
          <w:ilvl w:val="0"/>
          <w:numId w:val="19"/>
        </w:numPr>
        <w:spacing w:before="120" w:after="0" w:line="288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osoba zaka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żona należy do grupy najbliższych przyjaciół lub kolegów, </w:t>
      </w:r>
    </w:p>
    <w:p>
      <w:pPr>
        <w:numPr>
          <w:ilvl w:val="0"/>
          <w:numId w:val="19"/>
        </w:numPr>
        <w:spacing w:before="120" w:after="0" w:line="288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mieszkał w tym samym gospodarstwie domowym, co osoba chora, w tym samym pokoju internatu szkolnego.</w:t>
      </w:r>
    </w:p>
    <w:p>
      <w:pPr>
        <w:spacing w:before="12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Osoby z kontaktu NIE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uważane za zakażone i jeżeli czują się dobrze i nie mają objawów choroby, jest mało prawdopodobne, aby rozprzestrzeniły infekcję na inne osoby, jednak zaleca im się:</w:t>
      </w:r>
    </w:p>
    <w:p>
      <w:pPr>
        <w:numPr>
          <w:ilvl w:val="0"/>
          <w:numId w:val="21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pozostanie w domu lub w pokoju wieloosobowym w szkole z internatem przez 14 dni od ostatniego kontaktu z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chorą i prowadzenie samoobserwacji - codzienny pomiar temperatury i świadome zwracanie uwagi na swój stan zdrowia,</w:t>
      </w:r>
    </w:p>
    <w:p>
      <w:pPr>
        <w:numPr>
          <w:ilvl w:val="0"/>
          <w:numId w:val="21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poddanie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monitoringowi pracownika stacji sanitarno-epidemiologicznej w szczególności udostępnienie numeru telefonu w celu umożliwienia codziennego kontaktu i przeprowadzenia wywiadu odnośnie stanu zdrowia,</w:t>
      </w:r>
    </w:p>
    <w:p>
      <w:pPr>
        <w:numPr>
          <w:ilvl w:val="0"/>
          <w:numId w:val="21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je</w:t>
      </w: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żeli w ciągu 14 dni samoobserwacji 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>
      <w:pPr>
        <w:spacing w:before="120" w:after="0" w:line="288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śli wyniki testów na obecność koronawirusa są ujemne u osoby zakażonej, z którą osoba poddana kwarantannie domowej miała kontakt – państwowy inspektor sanitarny podejmuje decyzje o wcześniejszym zdjęciu kwarantanny. </w:t>
      </w:r>
    </w:p>
    <w:p>
      <w:pPr>
        <w:spacing w:before="12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Osoby, które nie mia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bliskiego kontaktu:</w:t>
      </w:r>
    </w:p>
    <w:p>
      <w:pPr>
        <w:numPr>
          <w:ilvl w:val="0"/>
          <w:numId w:val="24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Rodzina i przyjaciele, którzy nie mieli bliskiego kontaktu z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chorą, nie muszą podejmować żadnych środków ostrożności ani wprowadzać żadnych zmian we własnych aktywnościach, takich jak uczęszczanie do szkoły czy pracy, chyba, że źle się poczują. </w:t>
      </w:r>
    </w:p>
    <w:p>
      <w:pPr>
        <w:numPr>
          <w:ilvl w:val="0"/>
          <w:numId w:val="24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 samopoczucia powinni telefonicznie </w:t>
      </w: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auto" w:val="clear"/>
        </w:rPr>
        <w:t xml:space="preserve">powiadomić stację sanitarno-epidemiologiczną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aby rozważyć, czy potrzebują dalszej oceny.</w:t>
      </w:r>
    </w:p>
    <w:p>
      <w:pPr>
        <w:numPr>
          <w:ilvl w:val="0"/>
          <w:numId w:val="24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Poza osobami, które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zdefiniowane jako te, które miały bliski kontakt, reszta szkoły nie musi podejmować żadnych środków ostrożności, ani wprowadzać żadnych zmian we własnych zajęciach w placówkach edukacyjnych. Jeśli źle się poczują, poddane zostaną kwalifikacji, w zależności od objawów. To zalecenie dotyczy personelu dydaktycznego i dzieci z klasy i placówki, które nie przebywali w bliskim otoczeniu z osobą chorą. </w:t>
      </w:r>
    </w:p>
    <w:p>
      <w:pPr>
        <w:numPr>
          <w:ilvl w:val="0"/>
          <w:numId w:val="24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Decyzja, do jakiej grupy kontaktu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 uczniowie i pracownicy powinna zostać podjęta w kontakcie ze służbami sanitarnymi, personelem szkoły, uczniem i jego opiekunami prawnymi.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Obecnie nie ma uzasadnienia dla podejmowania nadmiernych 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łań takich jak kwarantanna dla wszystkich osób powracających z regionów, w których stwierdzono z utrzymującą się transmisją koronawirusa np. Włoch, czy  odmawianie udziału w zajęciach szkolnych oraz zamykanie szkół.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POST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ĘPOWANIE Z POMIESZCZENIAMI JEŚLI wystąpił przypadek osoby z podejrzeniem koronawirusa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 przypadku, gdy ucze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ń lub pracownik placówki został skierowany do szpitala z podejrzeniem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koronawirusa, dyrektor tej placówki w porozumieniu z 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łaściwym państwowym inspektorem sanitarnym może podjąć decyzję o zamknięciu instytucji na jeden dzień w celu przeprowadzenia dekontaminacji pomieszczeń i przedmiotów.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PODSTAWOWE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ŚRODKI OCHRONNE PRZECIWKO KORONAWIRUSOWI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istnieje szczepionka ani skuteczne leczenie przeciwko koronawirusowi. Dlatego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pamiętać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przestrzeganiu podstawowych zasad zapobiegawczych, które istotnie 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łyną na ograniczenie ryzyka zakażenia: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ęsto myć ręce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instrukcja jak poprawnie myć ręce znajduje się poniżej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pamiętać o częstym myciu rąk wodą z mydłem, a jeśli nie ma takiej możliwości dezynfekować je płynami/żelami na bazie alkoholu (min. 60 %).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Mycie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ąk ww. metodami zabija wirusa, jeśli znajduje się on na rękach.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Wirus ma zdolno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240" w:after="0" w:line="288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Stosowa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zasady ochrony podczas kichania i kaszlu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Podczas kaszlu i kichania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zakryć usta i nos zgiętym łokciem lub chusteczką – jak najszybciej wyrzuć chusteczkę do zamkniętego kosza i umyć ręce używając mydła i wody lub zdezynfekować je środkami na bazie alkoholu (min. 60 %). Zakrycie ust i nosa podczas kaszlu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kichania zapobiega rozprzestrzenianiu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zarazków, w tym wirusów. Jeśli nie przestrzega się tej zasady można łatwo zanieczyścić przedmioty, powierzchnie lub dotykane, np. przy powitaniu, osoby.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Zachowa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bezpieczną odległość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zachować co najmniej 1 metr odległości z osobą, która kaszle, kicha i ma gorączkę.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Gdy kto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z chorobą układu oddechowego, taką jak 2019-nCoV, kaszle lub kicha, wydala pod ciśnieniem małe kropelki zawierające wirusa. Jeśli jest się zbyt blisko, można wdychać wirusa.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4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Unika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dotykania oczu, nosa i ust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łonie dotykają wielu powierzchni, które mogą być zanieczyszczone wirusem. Dotknięcie oczu, nosa lub ust zanieczyszczonymi rękami, może spowodować przeniesienie się wirusa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powierzchni na siebie.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6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ędąc chorym, mając: gorączkę, kaszel, trudności w oddychaniu po powrocie z krajów gdzie szerzy się koronawirus, jeśli nie upłynęło 14 dni od powrotu  – NIE należy przychodzić do szkoły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niezwłocznie zasięgnąć pomocy medycznej – udać się na oddział zakaźny albo obserwacyjno-zakaźny, zgodnie z wytycznymi zamieszczonymi w  Komunikacie krajowego konsultanta w dziedzinie chorób zakaźnych 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https://gis.gov.pl/aktualnosci/komunikat-krajowego-konsultanta-w-dziedzinie-chorych-zakaznych/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przy tym pamiętać, żeby unikać środków komunikacji publicznej, aby nie narażać innych osób. Zaleca się osłonięcie ust i nosa maseczka ochronną, która stanowi pierwszą  barierę ochronną dla otoczenia.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8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ędąc chorym i mając bardzo złe samopoczucie, ale gdy nie podróżowało się do krajów,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których szerzy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koronawirus – NIE należy od razu podejrzewać u siebie zakażenia koronawirusem. Jednak w dbałości o własne zdrowie NIE należy przychodzić do szkoły, należy pozostać w domu i zasięgnąć porady lekarza rodzinnego. 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Objawy ze strony 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ładu oddechowego z towarzyszącą gorączką mogą mieć wiele przyczyn np. wirusową (wirusy grypy, adenowirusy, rynowirusy,  koronawirusy, wirusy paragrypy), czy bakteryjną (pałeczka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Haemophilus influenzae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a, pałeczka krztuśca, chlamydia, mykoplazama). 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0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 łagodne objawy ze strony układu oddechowego, gdy nie podróżowało się do krajów,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których szerzy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koronawirus należy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starannie stosować podstawowe zasady higieny oddychania oraz higieny rąk i pozostać w domu do czasu powrotu do zdrowia, jeśli to możliwe.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Unika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spożywania surowych lub niedogotowanych produktów pochodzenia zwierzęcego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 obchodź się z surowym mięsem, mlekiem lub narządami zwierzęcymi, aby uniknąć krzyżowego zanieczyszczenia poprzez niegotowaną żywność, zgodnie z dobrymi zasadami bezpieczeństwa żywności.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Zapobiega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innym chorobom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zakaźnym poprzez szczepienia, np. przeciwko grypie.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żności od sezonu epidemicznego, w Polsce rejestruje się od kilkuset tysięcy do kilku milionów zachorowań i podejrzeń zachorowań na grypę i zachorowania grypopodobne rocznie. Szczyt zachorowań ma miejsce zwykle między styczniem a marcem. Ostre infekcje wirusowe mogą sprzyjać zakażeniom innymi czynnikami infekcyjnymi, w tym wirusami. Nie należy jednak traktować szczepień ochronnych przeciwko grypie jako sposobu zapobiegania zakażeniom koronawirusem. 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Dba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o odporność, wysypiać się, dbać o kondycję fizyczną, racjonalne odżywianie.</w:t>
      </w:r>
    </w:p>
    <w:p>
      <w:pPr>
        <w:spacing w:before="0" w:after="0" w:line="288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405" w:dyaOrig="8162">
          <v:rect xmlns:o="urn:schemas-microsoft-com:office:office" xmlns:v="urn:schemas-microsoft-com:vml" id="rectole0000000000" style="width:420.250000pt;height:408.1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4">
    <w:abstractNumId w:val="102"/>
  </w:num>
  <w:num w:numId="6">
    <w:abstractNumId w:val="96"/>
  </w:num>
  <w:num w:numId="10">
    <w:abstractNumId w:val="90"/>
  </w:num>
  <w:num w:numId="13">
    <w:abstractNumId w:val="84"/>
  </w:num>
  <w:num w:numId="15">
    <w:abstractNumId w:val="78"/>
  </w:num>
  <w:num w:numId="19">
    <w:abstractNumId w:val="72"/>
  </w:num>
  <w:num w:numId="21">
    <w:abstractNumId w:val="66"/>
  </w:num>
  <w:num w:numId="24">
    <w:abstractNumId w:val="60"/>
  </w:num>
  <w:num w:numId="28">
    <w:abstractNumId w:val="54"/>
  </w:num>
  <w:num w:numId="30">
    <w:abstractNumId w:val="48"/>
  </w:num>
  <w:num w:numId="32">
    <w:abstractNumId w:val="42"/>
  </w:num>
  <w:num w:numId="34">
    <w:abstractNumId w:val="36"/>
  </w:num>
  <w:num w:numId="36">
    <w:abstractNumId w:val="30"/>
  </w:num>
  <w:num w:numId="38">
    <w:abstractNumId w:val="24"/>
  </w:num>
  <w:num w:numId="40">
    <w:abstractNumId w:val="18"/>
  </w:num>
  <w:num w:numId="43">
    <w:abstractNumId w:val="12"/>
  </w:num>
  <w:num w:numId="45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v.pl/web/zdrowie/byles-w-chinach-i-zle-sie-czujesz-sprawdz-co-robic" Id="docRId1" Type="http://schemas.openxmlformats.org/officeDocument/2006/relationships/hyperlink"/><Relationship Target="embeddings/oleObject0.bin" Id="docRId3" Type="http://schemas.openxmlformats.org/officeDocument/2006/relationships/oleObject"/><Relationship Target="numbering.xml" Id="docRId5" Type="http://schemas.openxmlformats.org/officeDocument/2006/relationships/numbering"/><Relationship TargetMode="External" Target="https://gis.gov.pl/mapa/" Id="docRId0" Type="http://schemas.openxmlformats.org/officeDocument/2006/relationships/hyperlink"/><Relationship TargetMode="External" Target="https://gis.gov.pl/aktualnosci/komunikat-krajowego-konsultanta-w-dziedzinie-chorych-zakaznych/" Id="docRId2" Type="http://schemas.openxmlformats.org/officeDocument/2006/relationships/hyperlink"/><Relationship Target="media/image0.wmf" Id="docRId4" Type="http://schemas.openxmlformats.org/officeDocument/2006/relationships/image"/><Relationship Target="styles.xml" Id="docRId6" Type="http://schemas.openxmlformats.org/officeDocument/2006/relationships/styles"/></Relationships>
</file>